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650A" w14:textId="02774FFA" w:rsidR="00270456" w:rsidRDefault="002B4F71" w:rsidP="001D454E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643D042" wp14:editId="14B11DA7">
            <wp:extent cx="1790163" cy="812764"/>
            <wp:effectExtent l="0" t="0" r="635" b="6985"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47" cy="81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F8E1A" w14:textId="77777777" w:rsidR="002B4F71" w:rsidRPr="00B100CF" w:rsidRDefault="002B4F71" w:rsidP="001D454E">
      <w:pPr>
        <w:jc w:val="center"/>
        <w:rPr>
          <w:b/>
          <w:bCs/>
          <w:sz w:val="20"/>
          <w:szCs w:val="20"/>
          <w:u w:val="single"/>
        </w:rPr>
      </w:pPr>
    </w:p>
    <w:p w14:paraId="66C2512D" w14:textId="2CA2DCDB" w:rsidR="00DB7F97" w:rsidRPr="00FE7CE7" w:rsidRDefault="00F54F7E" w:rsidP="001D454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CORPORATE </w:t>
      </w:r>
      <w:r w:rsidR="00284161">
        <w:rPr>
          <w:b/>
          <w:bCs/>
          <w:sz w:val="28"/>
          <w:szCs w:val="28"/>
          <w:u w:val="single"/>
        </w:rPr>
        <w:t xml:space="preserve">TRANSPARENCY ACT - </w:t>
      </w:r>
      <w:r w:rsidR="001D454E" w:rsidRPr="00FE7CE7">
        <w:rPr>
          <w:b/>
          <w:bCs/>
          <w:sz w:val="28"/>
          <w:szCs w:val="28"/>
          <w:u w:val="single"/>
        </w:rPr>
        <w:t>BOI INFORMATION SHEET</w:t>
      </w:r>
    </w:p>
    <w:p w14:paraId="634F87D8" w14:textId="77777777" w:rsidR="000167B9" w:rsidRDefault="000167B9" w:rsidP="001D454E">
      <w:pPr>
        <w:rPr>
          <w:b/>
          <w:bCs/>
          <w:sz w:val="28"/>
          <w:szCs w:val="28"/>
          <w:u w:val="single"/>
        </w:rPr>
      </w:pPr>
    </w:p>
    <w:p w14:paraId="4A479303" w14:textId="79A252CD" w:rsidR="004F4481" w:rsidRPr="00FE7CE7" w:rsidRDefault="001D454E" w:rsidP="001D454E">
      <w:pPr>
        <w:rPr>
          <w:sz w:val="28"/>
          <w:szCs w:val="28"/>
        </w:rPr>
      </w:pPr>
      <w:r w:rsidRPr="00D3616D">
        <w:rPr>
          <w:b/>
          <w:bCs/>
          <w:sz w:val="28"/>
          <w:szCs w:val="28"/>
          <w:u w:val="single"/>
        </w:rPr>
        <w:t>WHAT</w:t>
      </w:r>
      <w:r w:rsidRPr="00FE7CE7">
        <w:rPr>
          <w:b/>
          <w:bCs/>
          <w:sz w:val="28"/>
          <w:szCs w:val="28"/>
        </w:rPr>
        <w:t>:</w:t>
      </w:r>
      <w:r w:rsidRPr="00FE7CE7">
        <w:rPr>
          <w:sz w:val="28"/>
          <w:szCs w:val="28"/>
        </w:rPr>
        <w:t xml:space="preserve">  The Department of Treasury’s Financial Crimes Enforcement Network (FinCEN) recently published a rule </w:t>
      </w:r>
      <w:r w:rsidR="00F83FFA">
        <w:rPr>
          <w:sz w:val="28"/>
          <w:szCs w:val="28"/>
        </w:rPr>
        <w:t>requiring small companies to r</w:t>
      </w:r>
      <w:r w:rsidRPr="00FE7CE7">
        <w:rPr>
          <w:sz w:val="28"/>
          <w:szCs w:val="28"/>
        </w:rPr>
        <w:t>eport</w:t>
      </w:r>
      <w:r w:rsidR="00F83FFA">
        <w:rPr>
          <w:sz w:val="28"/>
          <w:szCs w:val="28"/>
        </w:rPr>
        <w:t xml:space="preserve"> certain information for each beneficial owner of the company.  The rule is </w:t>
      </w:r>
      <w:r w:rsidR="004F4481" w:rsidRPr="00FE7CE7">
        <w:rPr>
          <w:sz w:val="28"/>
          <w:szCs w:val="28"/>
        </w:rPr>
        <w:t xml:space="preserve">informally referred to as the </w:t>
      </w:r>
      <w:r w:rsidR="00133F2B">
        <w:rPr>
          <w:sz w:val="28"/>
          <w:szCs w:val="28"/>
        </w:rPr>
        <w:t xml:space="preserve">Beneficial Owners Information or </w:t>
      </w:r>
      <w:r w:rsidR="004F4481" w:rsidRPr="00FE7CE7">
        <w:rPr>
          <w:sz w:val="28"/>
          <w:szCs w:val="28"/>
        </w:rPr>
        <w:t>BOI Rule</w:t>
      </w:r>
      <w:r w:rsidRPr="00FE7CE7">
        <w:rPr>
          <w:sz w:val="28"/>
          <w:szCs w:val="28"/>
        </w:rPr>
        <w:t xml:space="preserve">.  The </w:t>
      </w:r>
      <w:r w:rsidR="004F4481" w:rsidRPr="00FE7CE7">
        <w:rPr>
          <w:sz w:val="28"/>
          <w:szCs w:val="28"/>
        </w:rPr>
        <w:t xml:space="preserve">BOI </w:t>
      </w:r>
      <w:r w:rsidRPr="00FE7CE7">
        <w:rPr>
          <w:sz w:val="28"/>
          <w:szCs w:val="28"/>
        </w:rPr>
        <w:t xml:space="preserve">Rule </w:t>
      </w:r>
      <w:r w:rsidR="00284161">
        <w:rPr>
          <w:sz w:val="28"/>
          <w:szCs w:val="28"/>
        </w:rPr>
        <w:t xml:space="preserve">was mandated by the 2020 Corporate Transparency </w:t>
      </w:r>
      <w:proofErr w:type="gramStart"/>
      <w:r w:rsidR="00284161">
        <w:rPr>
          <w:sz w:val="28"/>
          <w:szCs w:val="28"/>
        </w:rPr>
        <w:t>Act</w:t>
      </w:r>
      <w:r w:rsidR="00133F2B">
        <w:rPr>
          <w:sz w:val="28"/>
          <w:szCs w:val="28"/>
        </w:rPr>
        <w:t>,</w:t>
      </w:r>
      <w:r w:rsidR="00971EAE">
        <w:rPr>
          <w:sz w:val="28"/>
          <w:szCs w:val="28"/>
        </w:rPr>
        <w:t xml:space="preserve"> and</w:t>
      </w:r>
      <w:proofErr w:type="gramEnd"/>
      <w:r w:rsidR="00971EAE">
        <w:rPr>
          <w:sz w:val="28"/>
          <w:szCs w:val="28"/>
        </w:rPr>
        <w:t xml:space="preserve"> </w:t>
      </w:r>
      <w:r w:rsidRPr="00FE7CE7">
        <w:rPr>
          <w:sz w:val="28"/>
          <w:szCs w:val="28"/>
        </w:rPr>
        <w:t>is e</w:t>
      </w:r>
      <w:r w:rsidR="004F4481" w:rsidRPr="00FE7CE7">
        <w:rPr>
          <w:sz w:val="28"/>
          <w:szCs w:val="28"/>
        </w:rPr>
        <w:t xml:space="preserve">stimated to </w:t>
      </w:r>
      <w:r w:rsidRPr="00FE7CE7">
        <w:rPr>
          <w:sz w:val="28"/>
          <w:szCs w:val="28"/>
        </w:rPr>
        <w:t>affec</w:t>
      </w:r>
      <w:r w:rsidR="004F4481" w:rsidRPr="00FE7CE7">
        <w:rPr>
          <w:sz w:val="28"/>
          <w:szCs w:val="28"/>
        </w:rPr>
        <w:t xml:space="preserve">t </w:t>
      </w:r>
      <w:r w:rsidR="00F83FFA">
        <w:rPr>
          <w:sz w:val="28"/>
          <w:szCs w:val="28"/>
        </w:rPr>
        <w:t xml:space="preserve">over </w:t>
      </w:r>
      <w:r w:rsidR="004F4481" w:rsidRPr="00FE7CE7">
        <w:rPr>
          <w:sz w:val="28"/>
          <w:szCs w:val="28"/>
        </w:rPr>
        <w:t>32 million entities.</w:t>
      </w:r>
      <w:r w:rsidR="00F83FFA">
        <w:rPr>
          <w:sz w:val="28"/>
          <w:szCs w:val="28"/>
        </w:rPr>
        <w:t xml:space="preserve">  The purpose of the rule is to assist law enforcement to prevent financial crimes of money laundering and financing of terrorism acts. </w:t>
      </w:r>
    </w:p>
    <w:p w14:paraId="42C4250B" w14:textId="49ACFFEA" w:rsidR="001D454E" w:rsidRPr="00FE7CE7" w:rsidRDefault="004F4481" w:rsidP="001D454E">
      <w:pPr>
        <w:rPr>
          <w:sz w:val="28"/>
          <w:szCs w:val="28"/>
        </w:rPr>
      </w:pPr>
      <w:r w:rsidRPr="00D3616D">
        <w:rPr>
          <w:b/>
          <w:bCs/>
          <w:sz w:val="28"/>
          <w:szCs w:val="28"/>
          <w:u w:val="single"/>
        </w:rPr>
        <w:t>WHO</w:t>
      </w:r>
      <w:r w:rsidRPr="00FE7CE7">
        <w:rPr>
          <w:b/>
          <w:bCs/>
          <w:sz w:val="28"/>
          <w:szCs w:val="28"/>
        </w:rPr>
        <w:t>:</w:t>
      </w:r>
      <w:r w:rsidRPr="00FE7CE7">
        <w:rPr>
          <w:sz w:val="28"/>
          <w:szCs w:val="28"/>
        </w:rPr>
        <w:t xml:space="preserve">  Under the BOI Rule, a reporting company </w:t>
      </w:r>
      <w:r w:rsidR="00971EAE">
        <w:rPr>
          <w:sz w:val="28"/>
          <w:szCs w:val="28"/>
        </w:rPr>
        <w:t xml:space="preserve">required to file BOI, </w:t>
      </w:r>
      <w:r w:rsidRPr="00FE7CE7">
        <w:rPr>
          <w:sz w:val="28"/>
          <w:szCs w:val="28"/>
        </w:rPr>
        <w:t>is an existing or future compan</w:t>
      </w:r>
      <w:r w:rsidR="00971EAE">
        <w:rPr>
          <w:sz w:val="28"/>
          <w:szCs w:val="28"/>
        </w:rPr>
        <w:t>y</w:t>
      </w:r>
      <w:r w:rsidRPr="00FE7CE7">
        <w:rPr>
          <w:sz w:val="28"/>
          <w:szCs w:val="28"/>
        </w:rPr>
        <w:t>, including LLCs, LLPs, Business Trusts et. al., with less than 20</w:t>
      </w:r>
      <w:r w:rsidR="00E41287">
        <w:rPr>
          <w:sz w:val="28"/>
          <w:szCs w:val="28"/>
        </w:rPr>
        <w:t xml:space="preserve"> </w:t>
      </w:r>
      <w:r w:rsidRPr="00FE7CE7">
        <w:rPr>
          <w:sz w:val="28"/>
          <w:szCs w:val="28"/>
        </w:rPr>
        <w:t xml:space="preserve">employees </w:t>
      </w:r>
      <w:r w:rsidRPr="00FE7CE7">
        <w:rPr>
          <w:b/>
          <w:bCs/>
          <w:sz w:val="28"/>
          <w:szCs w:val="28"/>
          <w:u w:val="single"/>
        </w:rPr>
        <w:t>and</w:t>
      </w:r>
      <w:r w:rsidRPr="00FE7CE7">
        <w:rPr>
          <w:sz w:val="28"/>
          <w:szCs w:val="28"/>
        </w:rPr>
        <w:t xml:space="preserve"> $5 million </w:t>
      </w:r>
      <w:r w:rsidR="00B00869" w:rsidRPr="00FE7CE7">
        <w:rPr>
          <w:sz w:val="28"/>
          <w:szCs w:val="28"/>
        </w:rPr>
        <w:t xml:space="preserve">or less </w:t>
      </w:r>
      <w:r w:rsidRPr="00FE7CE7">
        <w:rPr>
          <w:sz w:val="28"/>
          <w:szCs w:val="28"/>
        </w:rPr>
        <w:t xml:space="preserve">in </w:t>
      </w:r>
      <w:r w:rsidR="00B00869" w:rsidRPr="00FE7CE7">
        <w:rPr>
          <w:sz w:val="28"/>
          <w:szCs w:val="28"/>
        </w:rPr>
        <w:t xml:space="preserve">annual </w:t>
      </w:r>
      <w:r w:rsidRPr="00FE7CE7">
        <w:rPr>
          <w:sz w:val="28"/>
          <w:szCs w:val="28"/>
        </w:rPr>
        <w:t xml:space="preserve">revenue. </w:t>
      </w:r>
      <w:r w:rsidR="00B00869" w:rsidRPr="00FE7CE7">
        <w:rPr>
          <w:sz w:val="28"/>
          <w:szCs w:val="28"/>
        </w:rPr>
        <w:t>There are exemptions; however, these apply primarily to companies involved in the financial and insurance sectors.</w:t>
      </w:r>
      <w:r w:rsidRPr="00FE7CE7">
        <w:rPr>
          <w:sz w:val="28"/>
          <w:szCs w:val="28"/>
        </w:rPr>
        <w:t xml:space="preserve">  </w:t>
      </w:r>
      <w:r w:rsidR="001D454E" w:rsidRPr="00FE7CE7">
        <w:rPr>
          <w:sz w:val="28"/>
          <w:szCs w:val="28"/>
        </w:rPr>
        <w:t xml:space="preserve">  </w:t>
      </w:r>
    </w:p>
    <w:p w14:paraId="4105E559" w14:textId="01FDC4E2" w:rsidR="00B00869" w:rsidRPr="00FE7CE7" w:rsidRDefault="00B00869" w:rsidP="001D454E">
      <w:pPr>
        <w:rPr>
          <w:sz w:val="28"/>
          <w:szCs w:val="28"/>
        </w:rPr>
      </w:pPr>
      <w:r w:rsidRPr="00D3616D">
        <w:rPr>
          <w:b/>
          <w:bCs/>
          <w:sz w:val="28"/>
          <w:szCs w:val="28"/>
          <w:u w:val="single"/>
        </w:rPr>
        <w:t>WHEN</w:t>
      </w:r>
      <w:r w:rsidRPr="00FE7CE7">
        <w:rPr>
          <w:b/>
          <w:bCs/>
          <w:sz w:val="28"/>
          <w:szCs w:val="28"/>
        </w:rPr>
        <w:t>:</w:t>
      </w:r>
      <w:r w:rsidRPr="00FE7CE7">
        <w:rPr>
          <w:sz w:val="28"/>
          <w:szCs w:val="28"/>
        </w:rPr>
        <w:t xml:space="preserve">  The rule went into effect on January 1, 2024, and </w:t>
      </w:r>
      <w:r w:rsidR="00E41287">
        <w:rPr>
          <w:sz w:val="28"/>
          <w:szCs w:val="28"/>
        </w:rPr>
        <w:t xml:space="preserve">requires </w:t>
      </w:r>
      <w:r w:rsidRPr="00FE7CE7">
        <w:rPr>
          <w:sz w:val="28"/>
          <w:szCs w:val="28"/>
        </w:rPr>
        <w:t xml:space="preserve">existing companies </w:t>
      </w:r>
      <w:r w:rsidR="00E41287">
        <w:rPr>
          <w:sz w:val="28"/>
          <w:szCs w:val="28"/>
        </w:rPr>
        <w:t xml:space="preserve">to file the required BOI </w:t>
      </w:r>
      <w:r w:rsidR="00133F2B">
        <w:rPr>
          <w:sz w:val="28"/>
          <w:szCs w:val="28"/>
        </w:rPr>
        <w:t>f</w:t>
      </w:r>
      <w:r w:rsidR="00E41287">
        <w:rPr>
          <w:sz w:val="28"/>
          <w:szCs w:val="28"/>
        </w:rPr>
        <w:t xml:space="preserve">or each </w:t>
      </w:r>
      <w:r w:rsidR="00133F2B">
        <w:rPr>
          <w:sz w:val="28"/>
          <w:szCs w:val="28"/>
        </w:rPr>
        <w:t>beneficial owner</w:t>
      </w:r>
      <w:r w:rsidR="00E41287">
        <w:rPr>
          <w:sz w:val="28"/>
          <w:szCs w:val="28"/>
        </w:rPr>
        <w:t xml:space="preserve"> by J</w:t>
      </w:r>
      <w:r w:rsidRPr="00FE7CE7">
        <w:rPr>
          <w:sz w:val="28"/>
          <w:szCs w:val="28"/>
        </w:rPr>
        <w:t>anuary 1, 2025</w:t>
      </w:r>
      <w:r w:rsidR="00133F2B">
        <w:rPr>
          <w:sz w:val="28"/>
          <w:szCs w:val="28"/>
        </w:rPr>
        <w:t xml:space="preserve">; </w:t>
      </w:r>
      <w:r w:rsidRPr="00FE7CE7">
        <w:rPr>
          <w:sz w:val="28"/>
          <w:szCs w:val="28"/>
        </w:rPr>
        <w:t>new companies</w:t>
      </w:r>
      <w:r w:rsidR="00264CD3">
        <w:rPr>
          <w:sz w:val="28"/>
          <w:szCs w:val="28"/>
        </w:rPr>
        <w:t>,</w:t>
      </w:r>
      <w:r w:rsidRPr="00FE7CE7">
        <w:rPr>
          <w:sz w:val="28"/>
          <w:szCs w:val="28"/>
        </w:rPr>
        <w:t xml:space="preserve"> in existence as of January 1, 2024, must file </w:t>
      </w:r>
      <w:r w:rsidR="00133F2B">
        <w:rPr>
          <w:sz w:val="28"/>
          <w:szCs w:val="28"/>
        </w:rPr>
        <w:t xml:space="preserve">the required </w:t>
      </w:r>
      <w:r w:rsidRPr="00FE7CE7">
        <w:rPr>
          <w:sz w:val="28"/>
          <w:szCs w:val="28"/>
        </w:rPr>
        <w:t xml:space="preserve">BOI within 90 days of registration. </w:t>
      </w:r>
      <w:r w:rsidR="00FE7CE7">
        <w:rPr>
          <w:sz w:val="28"/>
          <w:szCs w:val="28"/>
        </w:rPr>
        <w:t xml:space="preserve"> The BOI only needs to be reported once, unless/until it changes – then changes/updates must be made within 30-days</w:t>
      </w:r>
      <w:r w:rsidR="00F83FFA">
        <w:rPr>
          <w:sz w:val="28"/>
          <w:szCs w:val="28"/>
        </w:rPr>
        <w:t xml:space="preserve"> of the change</w:t>
      </w:r>
      <w:r w:rsidR="00FE7CE7">
        <w:rPr>
          <w:sz w:val="28"/>
          <w:szCs w:val="28"/>
        </w:rPr>
        <w:t xml:space="preserve">. </w:t>
      </w:r>
    </w:p>
    <w:p w14:paraId="6561A495" w14:textId="3AB40457" w:rsidR="00B00869" w:rsidRPr="00FE7CE7" w:rsidRDefault="00B00869" w:rsidP="001D454E">
      <w:pPr>
        <w:rPr>
          <w:sz w:val="28"/>
          <w:szCs w:val="28"/>
        </w:rPr>
      </w:pPr>
      <w:r w:rsidRPr="00D3616D">
        <w:rPr>
          <w:b/>
          <w:bCs/>
          <w:sz w:val="28"/>
          <w:szCs w:val="28"/>
          <w:u w:val="single"/>
        </w:rPr>
        <w:t>WHERE</w:t>
      </w:r>
      <w:r w:rsidRPr="00FE7CE7">
        <w:rPr>
          <w:b/>
          <w:bCs/>
          <w:sz w:val="28"/>
          <w:szCs w:val="28"/>
        </w:rPr>
        <w:t xml:space="preserve">:  </w:t>
      </w:r>
      <w:r w:rsidRPr="00FE7CE7">
        <w:rPr>
          <w:sz w:val="28"/>
          <w:szCs w:val="28"/>
        </w:rPr>
        <w:t xml:space="preserve">FinCEN created an online portal, where the BOI </w:t>
      </w:r>
      <w:r w:rsidR="00FE7CE7">
        <w:rPr>
          <w:sz w:val="28"/>
          <w:szCs w:val="28"/>
        </w:rPr>
        <w:t xml:space="preserve">report </w:t>
      </w:r>
      <w:r w:rsidRPr="00FE7CE7">
        <w:rPr>
          <w:sz w:val="28"/>
          <w:szCs w:val="28"/>
        </w:rPr>
        <w:t xml:space="preserve">is to be </w:t>
      </w:r>
      <w:r w:rsidR="00FE7CE7">
        <w:rPr>
          <w:sz w:val="28"/>
          <w:szCs w:val="28"/>
        </w:rPr>
        <w:t xml:space="preserve">filed. </w:t>
      </w:r>
      <w:r w:rsidRPr="00FE7CE7">
        <w:rPr>
          <w:sz w:val="28"/>
          <w:szCs w:val="28"/>
        </w:rPr>
        <w:t xml:space="preserve">It can be accessed here: </w:t>
      </w:r>
      <w:r w:rsidRPr="00FE7CE7">
        <w:rPr>
          <w:b/>
          <w:bCs/>
          <w:sz w:val="28"/>
          <w:szCs w:val="28"/>
        </w:rPr>
        <w:t xml:space="preserve"> </w:t>
      </w:r>
      <w:hyperlink r:id="rId8" w:history="1">
        <w:r w:rsidR="00FE7CE7" w:rsidRPr="00FE7CE7">
          <w:rPr>
            <w:rStyle w:val="Hyperlink"/>
            <w:b/>
            <w:bCs/>
            <w:sz w:val="28"/>
            <w:szCs w:val="28"/>
          </w:rPr>
          <w:t>https://www.fincen.gov/boi</w:t>
        </w:r>
      </w:hyperlink>
    </w:p>
    <w:p w14:paraId="293832D3" w14:textId="0D179AD4" w:rsidR="00264CD3" w:rsidRDefault="00264CD3" w:rsidP="00264CD3">
      <w:pPr>
        <w:spacing w:after="0"/>
        <w:rPr>
          <w:rFonts w:eastAsiaTheme="minorEastAsia" w:cstheme="minorHAnsi"/>
          <w:kern w:val="24"/>
          <w:sz w:val="28"/>
          <w:szCs w:val="28"/>
        </w:rPr>
      </w:pPr>
      <w:r w:rsidRPr="00D3616D">
        <w:rPr>
          <w:rFonts w:eastAsiaTheme="minorEastAsia" w:cstheme="minorHAnsi"/>
          <w:b/>
          <w:bCs/>
          <w:kern w:val="24"/>
          <w:sz w:val="28"/>
          <w:szCs w:val="28"/>
          <w:u w:val="single"/>
        </w:rPr>
        <w:t>PENALTIES</w:t>
      </w:r>
      <w:r w:rsidRPr="00EE39E4">
        <w:rPr>
          <w:rFonts w:eastAsiaTheme="minorEastAsia" w:cstheme="minorHAnsi"/>
          <w:b/>
          <w:bCs/>
          <w:kern w:val="24"/>
          <w:sz w:val="28"/>
          <w:szCs w:val="28"/>
        </w:rPr>
        <w:t xml:space="preserve">: </w:t>
      </w:r>
      <w:r>
        <w:rPr>
          <w:rFonts w:eastAsiaTheme="minorEastAsia" w:cstheme="minorHAnsi"/>
          <w:kern w:val="24"/>
          <w:sz w:val="28"/>
          <w:szCs w:val="28"/>
        </w:rPr>
        <w:t xml:space="preserve"> Willful failure to report or complete an updated BOI report or attempt to provide false or fraudulent information</w:t>
      </w:r>
      <w:r w:rsidR="003230D5">
        <w:rPr>
          <w:rFonts w:eastAsiaTheme="minorEastAsia" w:cstheme="minorHAnsi"/>
          <w:kern w:val="24"/>
          <w:sz w:val="28"/>
          <w:szCs w:val="28"/>
        </w:rPr>
        <w:t xml:space="preserve"> </w:t>
      </w:r>
      <w:r>
        <w:rPr>
          <w:rFonts w:eastAsiaTheme="minorEastAsia" w:cstheme="minorHAnsi"/>
          <w:kern w:val="24"/>
          <w:sz w:val="28"/>
          <w:szCs w:val="28"/>
        </w:rPr>
        <w:t xml:space="preserve">can result in both civil and criminal penalties, including up to $500/day for each day of the violation or imprisonment. </w:t>
      </w:r>
    </w:p>
    <w:p w14:paraId="43DE4EB0" w14:textId="77777777" w:rsidR="003230D5" w:rsidRDefault="003230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66C82FE" w14:textId="647A5366" w:rsidR="00FE7CE7" w:rsidRDefault="00B00869" w:rsidP="001D454E">
      <w:pPr>
        <w:rPr>
          <w:sz w:val="28"/>
          <w:szCs w:val="28"/>
        </w:rPr>
      </w:pPr>
      <w:r w:rsidRPr="00D3616D">
        <w:rPr>
          <w:b/>
          <w:bCs/>
          <w:sz w:val="28"/>
          <w:szCs w:val="28"/>
          <w:u w:val="single"/>
        </w:rPr>
        <w:lastRenderedPageBreak/>
        <w:t>REPORT</w:t>
      </w:r>
      <w:r w:rsidR="00FE7CE7" w:rsidRPr="00D3616D">
        <w:rPr>
          <w:b/>
          <w:bCs/>
          <w:sz w:val="28"/>
          <w:szCs w:val="28"/>
          <w:u w:val="single"/>
        </w:rPr>
        <w:t>ING</w:t>
      </w:r>
      <w:r w:rsidRPr="00D3616D">
        <w:rPr>
          <w:b/>
          <w:bCs/>
          <w:sz w:val="28"/>
          <w:szCs w:val="28"/>
          <w:u w:val="single"/>
        </w:rPr>
        <w:t xml:space="preserve"> REQUIREMENTS</w:t>
      </w:r>
      <w:r w:rsidRPr="00FE7CE7">
        <w:rPr>
          <w:b/>
          <w:bCs/>
          <w:sz w:val="28"/>
          <w:szCs w:val="28"/>
        </w:rPr>
        <w:t>:</w:t>
      </w:r>
      <w:r w:rsidR="00FE7CE7">
        <w:rPr>
          <w:sz w:val="28"/>
          <w:szCs w:val="28"/>
        </w:rPr>
        <w:t xml:space="preserve">  Generally, companies must provide the following information for each beneficial owner:</w:t>
      </w:r>
    </w:p>
    <w:p w14:paraId="22F0BCDA" w14:textId="0A256169" w:rsidR="001D454E" w:rsidRPr="00FE7CE7" w:rsidRDefault="00FE7CE7" w:rsidP="00FE7CE7">
      <w:pPr>
        <w:spacing w:after="0"/>
        <w:rPr>
          <w:rFonts w:eastAsiaTheme="minorEastAsia" w:cstheme="minorHAnsi"/>
          <w:kern w:val="24"/>
          <w:sz w:val="28"/>
          <w:szCs w:val="28"/>
        </w:rPr>
      </w:pPr>
      <w:r>
        <w:rPr>
          <w:sz w:val="28"/>
          <w:szCs w:val="28"/>
        </w:rPr>
        <w:tab/>
      </w:r>
      <w:r w:rsidRPr="00FE7CE7">
        <w:rPr>
          <w:rFonts w:cstheme="minorHAnsi"/>
          <w:sz w:val="28"/>
          <w:szCs w:val="28"/>
        </w:rPr>
        <w:t xml:space="preserve">1.  </w:t>
      </w:r>
      <w:r w:rsidR="001D454E" w:rsidRPr="00FE7CE7">
        <w:rPr>
          <w:rFonts w:eastAsiaTheme="minorEastAsia" w:cstheme="minorHAnsi"/>
          <w:kern w:val="24"/>
          <w:sz w:val="28"/>
          <w:szCs w:val="28"/>
        </w:rPr>
        <w:t xml:space="preserve">Full legal </w:t>
      </w:r>
      <w:proofErr w:type="gramStart"/>
      <w:r w:rsidR="001D454E" w:rsidRPr="00FE7CE7">
        <w:rPr>
          <w:rFonts w:eastAsiaTheme="minorEastAsia" w:cstheme="minorHAnsi"/>
          <w:kern w:val="24"/>
          <w:sz w:val="28"/>
          <w:szCs w:val="28"/>
        </w:rPr>
        <w:t>name</w:t>
      </w:r>
      <w:r w:rsidRPr="00FE7CE7">
        <w:rPr>
          <w:rFonts w:eastAsiaTheme="minorEastAsia" w:cstheme="minorHAnsi"/>
          <w:kern w:val="24"/>
          <w:sz w:val="28"/>
          <w:szCs w:val="28"/>
        </w:rPr>
        <w:t>;</w:t>
      </w:r>
      <w:proofErr w:type="gramEnd"/>
      <w:r w:rsidRPr="00FE7CE7">
        <w:rPr>
          <w:rFonts w:eastAsiaTheme="minorEastAsia" w:cstheme="minorHAnsi"/>
          <w:kern w:val="24"/>
          <w:sz w:val="28"/>
          <w:szCs w:val="28"/>
        </w:rPr>
        <w:t xml:space="preserve"> </w:t>
      </w:r>
    </w:p>
    <w:p w14:paraId="1AB86F25" w14:textId="553DAE06" w:rsidR="00FE7CE7" w:rsidRDefault="00FE7CE7" w:rsidP="00FE7CE7">
      <w:pPr>
        <w:spacing w:after="0"/>
        <w:rPr>
          <w:rFonts w:eastAsiaTheme="minorEastAsia" w:cstheme="minorHAnsi"/>
          <w:kern w:val="24"/>
          <w:sz w:val="28"/>
          <w:szCs w:val="28"/>
        </w:rPr>
      </w:pPr>
      <w:r w:rsidRPr="00FE7CE7">
        <w:rPr>
          <w:rFonts w:eastAsiaTheme="minorEastAsia" w:cstheme="minorHAnsi"/>
          <w:kern w:val="24"/>
          <w:sz w:val="28"/>
          <w:szCs w:val="28"/>
        </w:rPr>
        <w:tab/>
        <w:t>2.  Date o</w:t>
      </w:r>
      <w:r>
        <w:rPr>
          <w:rFonts w:eastAsiaTheme="minorEastAsia" w:cstheme="minorHAnsi"/>
          <w:kern w:val="24"/>
          <w:sz w:val="28"/>
          <w:szCs w:val="28"/>
        </w:rPr>
        <w:t xml:space="preserve">f </w:t>
      </w:r>
      <w:proofErr w:type="gramStart"/>
      <w:r>
        <w:rPr>
          <w:rFonts w:eastAsiaTheme="minorEastAsia" w:cstheme="minorHAnsi"/>
          <w:kern w:val="24"/>
          <w:sz w:val="28"/>
          <w:szCs w:val="28"/>
        </w:rPr>
        <w:t>birth;</w:t>
      </w:r>
      <w:proofErr w:type="gramEnd"/>
    </w:p>
    <w:p w14:paraId="7019DDE3" w14:textId="77777777" w:rsidR="00FE7CE7" w:rsidRDefault="00FE7CE7" w:rsidP="00FE7CE7">
      <w:pPr>
        <w:spacing w:after="0"/>
        <w:rPr>
          <w:rFonts w:eastAsiaTheme="minorEastAsia" w:cstheme="minorHAnsi"/>
          <w:kern w:val="24"/>
          <w:sz w:val="28"/>
          <w:szCs w:val="28"/>
        </w:rPr>
      </w:pPr>
      <w:r>
        <w:rPr>
          <w:rFonts w:eastAsiaTheme="minorEastAsia" w:cstheme="minorHAnsi"/>
          <w:kern w:val="24"/>
          <w:sz w:val="28"/>
          <w:szCs w:val="28"/>
        </w:rPr>
        <w:tab/>
        <w:t>3.  Address:</w:t>
      </w:r>
    </w:p>
    <w:p w14:paraId="10A120AB" w14:textId="77777777" w:rsidR="00FE7CE7" w:rsidRDefault="00FE7CE7" w:rsidP="00FE7CE7">
      <w:pPr>
        <w:spacing w:after="0"/>
        <w:rPr>
          <w:rFonts w:eastAsiaTheme="minorEastAsia" w:cstheme="minorHAnsi"/>
          <w:kern w:val="24"/>
          <w:sz w:val="28"/>
          <w:szCs w:val="28"/>
        </w:rPr>
      </w:pPr>
      <w:r>
        <w:rPr>
          <w:rFonts w:eastAsiaTheme="minorEastAsia" w:cstheme="minorHAnsi"/>
          <w:kern w:val="24"/>
          <w:sz w:val="28"/>
          <w:szCs w:val="28"/>
        </w:rPr>
        <w:tab/>
        <w:t xml:space="preserve">4.  Identifying number and issuer, along with a copy of it (e.g. non-expired </w:t>
      </w:r>
      <w:r>
        <w:rPr>
          <w:rFonts w:eastAsiaTheme="minorEastAsia" w:cstheme="minorHAnsi"/>
          <w:kern w:val="24"/>
          <w:sz w:val="28"/>
          <w:szCs w:val="28"/>
        </w:rPr>
        <w:tab/>
      </w:r>
      <w:proofErr w:type="spellStart"/>
      <w:r>
        <w:rPr>
          <w:rFonts w:eastAsiaTheme="minorEastAsia" w:cstheme="minorHAnsi"/>
          <w:kern w:val="24"/>
          <w:sz w:val="28"/>
          <w:szCs w:val="28"/>
        </w:rPr>
        <w:t>drivers</w:t>
      </w:r>
      <w:proofErr w:type="spellEnd"/>
      <w:r>
        <w:rPr>
          <w:rFonts w:eastAsiaTheme="minorEastAsia" w:cstheme="minorHAnsi"/>
          <w:kern w:val="24"/>
          <w:sz w:val="28"/>
          <w:szCs w:val="28"/>
        </w:rPr>
        <w:t xml:space="preserve"> license or passport)</w:t>
      </w:r>
    </w:p>
    <w:p w14:paraId="5180F5A1" w14:textId="77777777" w:rsidR="00FE7CE7" w:rsidRDefault="00FE7CE7" w:rsidP="00FE7CE7">
      <w:pPr>
        <w:spacing w:after="0"/>
        <w:rPr>
          <w:rFonts w:eastAsiaTheme="minorEastAsia" w:cstheme="minorHAnsi"/>
          <w:kern w:val="24"/>
          <w:sz w:val="28"/>
          <w:szCs w:val="28"/>
        </w:rPr>
      </w:pPr>
      <w:r>
        <w:rPr>
          <w:rFonts w:eastAsiaTheme="minorEastAsia" w:cstheme="minorHAnsi"/>
          <w:kern w:val="24"/>
          <w:sz w:val="28"/>
          <w:szCs w:val="28"/>
        </w:rPr>
        <w:tab/>
        <w:t xml:space="preserve">5.  </w:t>
      </w:r>
      <w:r w:rsidR="001D454E" w:rsidRPr="00FE7CE7">
        <w:rPr>
          <w:rFonts w:eastAsiaTheme="minorEastAsia" w:cstheme="minorHAnsi"/>
          <w:kern w:val="24"/>
          <w:sz w:val="28"/>
          <w:szCs w:val="28"/>
        </w:rPr>
        <w:t>Name</w:t>
      </w:r>
      <w:r>
        <w:rPr>
          <w:rFonts w:eastAsiaTheme="minorEastAsia" w:cstheme="minorHAnsi"/>
          <w:kern w:val="24"/>
          <w:sz w:val="28"/>
          <w:szCs w:val="28"/>
        </w:rPr>
        <w:t xml:space="preserve">(s) and </w:t>
      </w:r>
      <w:r w:rsidR="001D454E" w:rsidRPr="00FE7CE7">
        <w:rPr>
          <w:rFonts w:eastAsiaTheme="minorEastAsia" w:cstheme="minorHAnsi"/>
          <w:kern w:val="24"/>
          <w:sz w:val="28"/>
          <w:szCs w:val="28"/>
        </w:rPr>
        <w:t>address of business</w:t>
      </w:r>
    </w:p>
    <w:p w14:paraId="28912C9E" w14:textId="2D71498D" w:rsidR="00FE7CE7" w:rsidRDefault="00FE7CE7" w:rsidP="00FE7CE7">
      <w:pPr>
        <w:spacing w:after="0"/>
        <w:rPr>
          <w:rFonts w:eastAsiaTheme="minorEastAsia" w:cstheme="minorHAnsi"/>
          <w:kern w:val="24"/>
          <w:sz w:val="28"/>
          <w:szCs w:val="28"/>
        </w:rPr>
      </w:pPr>
      <w:r>
        <w:rPr>
          <w:rFonts w:eastAsiaTheme="minorEastAsia" w:cstheme="minorHAnsi"/>
          <w:kern w:val="24"/>
          <w:sz w:val="28"/>
          <w:szCs w:val="28"/>
        </w:rPr>
        <w:tab/>
        <w:t xml:space="preserve">6.  </w:t>
      </w:r>
      <w:r w:rsidR="001D454E" w:rsidRPr="00FE7CE7">
        <w:rPr>
          <w:rFonts w:eastAsiaTheme="minorEastAsia" w:cstheme="minorHAnsi"/>
          <w:kern w:val="24"/>
          <w:sz w:val="28"/>
          <w:szCs w:val="28"/>
        </w:rPr>
        <w:t xml:space="preserve">State where </w:t>
      </w:r>
      <w:r w:rsidR="00D3616D">
        <w:rPr>
          <w:rFonts w:eastAsiaTheme="minorEastAsia" w:cstheme="minorHAnsi"/>
          <w:kern w:val="24"/>
          <w:sz w:val="28"/>
          <w:szCs w:val="28"/>
        </w:rPr>
        <w:t xml:space="preserve">business is </w:t>
      </w:r>
      <w:r w:rsidR="001D454E" w:rsidRPr="00FE7CE7">
        <w:rPr>
          <w:rFonts w:eastAsiaTheme="minorEastAsia" w:cstheme="minorHAnsi"/>
          <w:kern w:val="24"/>
          <w:sz w:val="28"/>
          <w:szCs w:val="28"/>
        </w:rPr>
        <w:t>registered</w:t>
      </w:r>
    </w:p>
    <w:p w14:paraId="6A330F38" w14:textId="5C2D51DF" w:rsidR="001D454E" w:rsidRDefault="00FE7CE7" w:rsidP="00FE7CE7">
      <w:pPr>
        <w:spacing w:after="0"/>
        <w:rPr>
          <w:rFonts w:eastAsiaTheme="minorEastAsia" w:cstheme="minorHAnsi"/>
          <w:kern w:val="24"/>
          <w:sz w:val="28"/>
          <w:szCs w:val="28"/>
        </w:rPr>
      </w:pPr>
      <w:r>
        <w:rPr>
          <w:rFonts w:eastAsiaTheme="minorEastAsia" w:cstheme="minorHAnsi"/>
          <w:kern w:val="24"/>
          <w:sz w:val="28"/>
          <w:szCs w:val="28"/>
        </w:rPr>
        <w:tab/>
        <w:t xml:space="preserve">7.  New companies must also submit information on who formed the </w:t>
      </w:r>
      <w:r>
        <w:rPr>
          <w:rFonts w:eastAsiaTheme="minorEastAsia" w:cstheme="minorHAnsi"/>
          <w:kern w:val="24"/>
          <w:sz w:val="28"/>
          <w:szCs w:val="28"/>
        </w:rPr>
        <w:tab/>
        <w:t>company</w:t>
      </w:r>
    </w:p>
    <w:p w14:paraId="1BD7B0FC" w14:textId="77777777" w:rsidR="00FE7CE7" w:rsidRDefault="00FE7CE7" w:rsidP="00FE7CE7">
      <w:pPr>
        <w:spacing w:after="0"/>
        <w:rPr>
          <w:rFonts w:eastAsiaTheme="minorEastAsia" w:cstheme="minorHAnsi"/>
          <w:kern w:val="24"/>
          <w:sz w:val="28"/>
          <w:szCs w:val="28"/>
        </w:rPr>
      </w:pPr>
    </w:p>
    <w:p w14:paraId="529CF850" w14:textId="065766BA" w:rsidR="00270456" w:rsidRDefault="00270456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  <w:r w:rsidRPr="00270456">
        <w:rPr>
          <w:rFonts w:eastAsiaTheme="minorEastAsia" w:cstheme="minorHAnsi"/>
          <w:b/>
          <w:bCs/>
          <w:kern w:val="24"/>
          <w:sz w:val="28"/>
          <w:szCs w:val="28"/>
        </w:rPr>
        <w:t>RESOURCES:</w:t>
      </w:r>
    </w:p>
    <w:p w14:paraId="170AEFB6" w14:textId="77777777" w:rsidR="00D3616D" w:rsidRDefault="00D3616D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</w:p>
    <w:p w14:paraId="60637658" w14:textId="0215BD47" w:rsidR="00270456" w:rsidRPr="00B100CF" w:rsidRDefault="00270456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  <w:r w:rsidRPr="00B100CF">
        <w:rPr>
          <w:rFonts w:eastAsiaTheme="minorEastAsia" w:cstheme="minorHAnsi"/>
          <w:b/>
          <w:bCs/>
          <w:kern w:val="24"/>
          <w:sz w:val="28"/>
          <w:szCs w:val="28"/>
        </w:rPr>
        <w:t>1.  FinCEN website</w:t>
      </w:r>
      <w:r w:rsidR="00064D40" w:rsidRPr="00B100CF">
        <w:rPr>
          <w:rFonts w:eastAsiaTheme="minorEastAsia" w:cstheme="minorHAnsi"/>
          <w:b/>
          <w:bCs/>
          <w:kern w:val="24"/>
          <w:sz w:val="28"/>
          <w:szCs w:val="28"/>
        </w:rPr>
        <w:t xml:space="preserve">:  </w:t>
      </w:r>
      <w:hyperlink r:id="rId9" w:history="1">
        <w:r w:rsidR="00064D40" w:rsidRPr="00B100CF">
          <w:rPr>
            <w:rStyle w:val="Hyperlink"/>
            <w:rFonts w:eastAsiaTheme="minorEastAsia" w:cstheme="minorHAnsi"/>
            <w:b/>
            <w:bCs/>
            <w:kern w:val="24"/>
            <w:sz w:val="28"/>
            <w:szCs w:val="28"/>
          </w:rPr>
          <w:t>https://www.fincen.gov/</w:t>
        </w:r>
      </w:hyperlink>
    </w:p>
    <w:p w14:paraId="2C7E2E93" w14:textId="77777777" w:rsidR="00B100CF" w:rsidRPr="00B100CF" w:rsidRDefault="00B100CF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</w:p>
    <w:p w14:paraId="0D2D1754" w14:textId="248E56FC" w:rsidR="00B100CF" w:rsidRPr="00B100CF" w:rsidRDefault="00B100CF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  <w:r w:rsidRPr="00B100CF">
        <w:rPr>
          <w:rFonts w:eastAsiaTheme="minorEastAsia" w:cstheme="minorHAnsi"/>
          <w:b/>
          <w:bCs/>
          <w:kern w:val="24"/>
          <w:sz w:val="28"/>
          <w:szCs w:val="28"/>
        </w:rPr>
        <w:t xml:space="preserve">2.  BOI Rule FAQs:  </w:t>
      </w:r>
      <w:hyperlink r:id="rId10" w:history="1">
        <w:r w:rsidRPr="00B100CF">
          <w:rPr>
            <w:rStyle w:val="Hyperlink"/>
            <w:rFonts w:eastAsiaTheme="minorEastAsia" w:cstheme="minorHAnsi"/>
            <w:b/>
            <w:bCs/>
            <w:kern w:val="24"/>
            <w:sz w:val="28"/>
            <w:szCs w:val="28"/>
          </w:rPr>
          <w:t>https://www.fincen.gov/boi-faqs</w:t>
        </w:r>
      </w:hyperlink>
    </w:p>
    <w:p w14:paraId="16494EA9" w14:textId="77777777" w:rsidR="00AA1C7C" w:rsidRPr="00B100CF" w:rsidRDefault="00AA1C7C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</w:p>
    <w:p w14:paraId="6BBC178E" w14:textId="6DD30ABC" w:rsidR="00AA1C7C" w:rsidRPr="00B100CF" w:rsidRDefault="00B100CF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  <w:r w:rsidRPr="00B100CF">
        <w:rPr>
          <w:rFonts w:eastAsiaTheme="minorEastAsia" w:cstheme="minorHAnsi"/>
          <w:b/>
          <w:bCs/>
          <w:kern w:val="24"/>
          <w:sz w:val="28"/>
          <w:szCs w:val="28"/>
        </w:rPr>
        <w:t>3</w:t>
      </w:r>
      <w:r w:rsidR="00AA1C7C" w:rsidRPr="00B100CF">
        <w:rPr>
          <w:rFonts w:eastAsiaTheme="minorEastAsia" w:cstheme="minorHAnsi"/>
          <w:b/>
          <w:bCs/>
          <w:kern w:val="24"/>
          <w:sz w:val="28"/>
          <w:szCs w:val="28"/>
        </w:rPr>
        <w:t>.  FinCEN</w:t>
      </w:r>
      <w:r w:rsidR="00B26625" w:rsidRPr="00B100CF">
        <w:rPr>
          <w:rFonts w:eastAsiaTheme="minorEastAsia" w:cstheme="minorHAnsi"/>
          <w:b/>
          <w:bCs/>
          <w:kern w:val="24"/>
          <w:sz w:val="28"/>
          <w:szCs w:val="28"/>
        </w:rPr>
        <w:t xml:space="preserve">’s “Small Entities Compliance Guide”:  </w:t>
      </w:r>
      <w:hyperlink r:id="rId11" w:history="1">
        <w:r w:rsidR="00B26625" w:rsidRPr="00B100CF">
          <w:rPr>
            <w:rStyle w:val="Hyperlink"/>
            <w:rFonts w:eastAsiaTheme="minorEastAsia" w:cstheme="minorHAnsi"/>
            <w:b/>
            <w:bCs/>
            <w:kern w:val="24"/>
            <w:sz w:val="28"/>
            <w:szCs w:val="28"/>
          </w:rPr>
          <w:t>https://www.fincen.gov/boi/small-entity-compliance-guide</w:t>
        </w:r>
      </w:hyperlink>
    </w:p>
    <w:p w14:paraId="7E45E87E" w14:textId="77777777" w:rsidR="00B26625" w:rsidRPr="00B100CF" w:rsidRDefault="00B26625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</w:p>
    <w:p w14:paraId="08E55E54" w14:textId="130E2922" w:rsidR="00B26625" w:rsidRPr="00B100CF" w:rsidRDefault="00B100CF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  <w:r w:rsidRPr="00B100CF">
        <w:rPr>
          <w:rFonts w:eastAsiaTheme="minorEastAsia" w:cstheme="minorHAnsi"/>
          <w:b/>
          <w:bCs/>
          <w:kern w:val="24"/>
          <w:sz w:val="28"/>
          <w:szCs w:val="28"/>
        </w:rPr>
        <w:t>4</w:t>
      </w:r>
      <w:r w:rsidR="00B26625" w:rsidRPr="00B100CF">
        <w:rPr>
          <w:rFonts w:eastAsiaTheme="minorEastAsia" w:cstheme="minorHAnsi"/>
          <w:b/>
          <w:bCs/>
          <w:kern w:val="24"/>
          <w:sz w:val="28"/>
          <w:szCs w:val="28"/>
        </w:rPr>
        <w:t>.  NFIB</w:t>
      </w:r>
      <w:r w:rsidR="00BB36C9" w:rsidRPr="00B100CF">
        <w:rPr>
          <w:rFonts w:eastAsiaTheme="minorEastAsia" w:cstheme="minorHAnsi"/>
          <w:b/>
          <w:bCs/>
          <w:kern w:val="24"/>
          <w:sz w:val="28"/>
          <w:szCs w:val="28"/>
        </w:rPr>
        <w:t>’s Free W</w:t>
      </w:r>
      <w:r w:rsidR="00B26625" w:rsidRPr="00B100CF">
        <w:rPr>
          <w:rFonts w:eastAsiaTheme="minorEastAsia" w:cstheme="minorHAnsi"/>
          <w:b/>
          <w:bCs/>
          <w:kern w:val="24"/>
          <w:sz w:val="28"/>
          <w:szCs w:val="28"/>
        </w:rPr>
        <w:t>ebinar</w:t>
      </w:r>
      <w:r w:rsidR="00F54F7E" w:rsidRPr="00B100CF">
        <w:rPr>
          <w:rFonts w:eastAsiaTheme="minorEastAsia" w:cstheme="minorHAnsi"/>
          <w:b/>
          <w:bCs/>
          <w:kern w:val="24"/>
          <w:sz w:val="28"/>
          <w:szCs w:val="28"/>
        </w:rPr>
        <w:t xml:space="preserve">:  </w:t>
      </w:r>
      <w:r w:rsidR="00B26625" w:rsidRPr="00B100CF">
        <w:rPr>
          <w:rFonts w:eastAsiaTheme="minorEastAsia" w:cstheme="minorHAnsi"/>
          <w:b/>
          <w:bCs/>
          <w:kern w:val="24"/>
          <w:sz w:val="28"/>
          <w:szCs w:val="28"/>
        </w:rPr>
        <w:t xml:space="preserve">  </w:t>
      </w:r>
      <w:hyperlink r:id="rId12" w:history="1">
        <w:r w:rsidR="00F54F7E" w:rsidRPr="00B100CF">
          <w:rPr>
            <w:rStyle w:val="Hyperlink"/>
            <w:rFonts w:eastAsiaTheme="minorEastAsia" w:cstheme="minorHAnsi"/>
            <w:b/>
            <w:bCs/>
            <w:kern w:val="24"/>
            <w:sz w:val="28"/>
            <w:szCs w:val="28"/>
          </w:rPr>
          <w:t>https://www.nfib.com/webinars/</w:t>
        </w:r>
      </w:hyperlink>
    </w:p>
    <w:p w14:paraId="6FEF939C" w14:textId="77777777" w:rsidR="00F54F7E" w:rsidRDefault="00F54F7E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</w:p>
    <w:p w14:paraId="0FAFB26A" w14:textId="77777777" w:rsidR="00B26625" w:rsidRDefault="00B26625" w:rsidP="00FE7CE7">
      <w:pPr>
        <w:spacing w:after="0"/>
        <w:rPr>
          <w:rFonts w:eastAsiaTheme="minorEastAsia" w:cstheme="minorHAnsi"/>
          <w:b/>
          <w:bCs/>
          <w:kern w:val="24"/>
          <w:sz w:val="28"/>
          <w:szCs w:val="28"/>
        </w:rPr>
      </w:pPr>
    </w:p>
    <w:p w14:paraId="70454C5B" w14:textId="7F4D4028" w:rsidR="00064D40" w:rsidRDefault="00064D40" w:rsidP="00FE7CE7">
      <w:pPr>
        <w:spacing w:after="0"/>
      </w:pPr>
    </w:p>
    <w:p w14:paraId="1A60E3C5" w14:textId="0FB21202" w:rsidR="00064D40" w:rsidRPr="00270456" w:rsidRDefault="00064D40" w:rsidP="00FE7CE7">
      <w:pPr>
        <w:spacing w:after="0"/>
        <w:rPr>
          <w:b/>
          <w:bCs/>
        </w:rPr>
      </w:pPr>
    </w:p>
    <w:sectPr w:rsidR="00064D40" w:rsidRPr="00270456" w:rsidSect="00C37C48">
      <w:headerReference w:type="default" r:id="rId13"/>
      <w:footerReference w:type="default" r:id="rId14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306F" w14:textId="77777777" w:rsidR="00C37C48" w:rsidRDefault="00C37C48" w:rsidP="00EE39E4">
      <w:pPr>
        <w:spacing w:after="0" w:line="240" w:lineRule="auto"/>
      </w:pPr>
      <w:r>
        <w:separator/>
      </w:r>
    </w:p>
  </w:endnote>
  <w:endnote w:type="continuationSeparator" w:id="0">
    <w:p w14:paraId="06CB9E09" w14:textId="77777777" w:rsidR="00C37C48" w:rsidRDefault="00C37C48" w:rsidP="00EE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987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E40F1" w14:textId="44DBE3B0" w:rsidR="00B100CF" w:rsidRDefault="00B100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DEDB0" w14:textId="77777777" w:rsidR="00B100CF" w:rsidRDefault="00B1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5822" w14:textId="77777777" w:rsidR="00C37C48" w:rsidRDefault="00C37C48" w:rsidP="00EE39E4">
      <w:pPr>
        <w:spacing w:after="0" w:line="240" w:lineRule="auto"/>
      </w:pPr>
      <w:r>
        <w:separator/>
      </w:r>
    </w:p>
  </w:footnote>
  <w:footnote w:type="continuationSeparator" w:id="0">
    <w:p w14:paraId="4E8EC3C9" w14:textId="77777777" w:rsidR="00C37C48" w:rsidRDefault="00C37C48" w:rsidP="00EE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1DB8" w14:textId="6E038775" w:rsidR="00EE39E4" w:rsidRDefault="00EE39E4" w:rsidP="00EE39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49D2"/>
    <w:multiLevelType w:val="hybridMultilevel"/>
    <w:tmpl w:val="6052AE80"/>
    <w:lvl w:ilvl="0" w:tplc="DBCE1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C8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168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A3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86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4EE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A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CC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629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4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4E"/>
    <w:rsid w:val="000167B9"/>
    <w:rsid w:val="00064D40"/>
    <w:rsid w:val="00133F2B"/>
    <w:rsid w:val="001D454E"/>
    <w:rsid w:val="00264CD3"/>
    <w:rsid w:val="00270456"/>
    <w:rsid w:val="00284161"/>
    <w:rsid w:val="002B4F71"/>
    <w:rsid w:val="003230D5"/>
    <w:rsid w:val="004F4481"/>
    <w:rsid w:val="00971EAE"/>
    <w:rsid w:val="00AA1C7C"/>
    <w:rsid w:val="00B00869"/>
    <w:rsid w:val="00B100CF"/>
    <w:rsid w:val="00B26625"/>
    <w:rsid w:val="00BB36C9"/>
    <w:rsid w:val="00C37C48"/>
    <w:rsid w:val="00D3616D"/>
    <w:rsid w:val="00DB7F97"/>
    <w:rsid w:val="00E41287"/>
    <w:rsid w:val="00EE39E4"/>
    <w:rsid w:val="00F54F7E"/>
    <w:rsid w:val="00F83FFA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7134"/>
  <w15:chartTrackingRefBased/>
  <w15:docId w15:val="{750A9EF1-1013-4A88-AE08-E3DAAB52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5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E7C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C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9E4"/>
  </w:style>
  <w:style w:type="paragraph" w:styleId="Footer">
    <w:name w:val="footer"/>
    <w:basedOn w:val="Normal"/>
    <w:link w:val="FooterChar"/>
    <w:uiPriority w:val="99"/>
    <w:unhideWhenUsed/>
    <w:rsid w:val="00EE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8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63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6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3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5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6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0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9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5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cen.gov/bo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fib.com/webinar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cen.gov/boi/small-entity-compliance-gui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incen.gov/boi-faq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cen.go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Rohde</dc:creator>
  <cp:keywords/>
  <dc:description/>
  <cp:lastModifiedBy>Suzanne Rohde</cp:lastModifiedBy>
  <cp:revision>18</cp:revision>
  <dcterms:created xsi:type="dcterms:W3CDTF">2024-01-09T21:10:00Z</dcterms:created>
  <dcterms:modified xsi:type="dcterms:W3CDTF">2024-01-09T22:10:00Z</dcterms:modified>
</cp:coreProperties>
</file>